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857EF" w14:textId="7EA152C4" w:rsidR="003266AF" w:rsidRDefault="00BE3994" w:rsidP="00E40E27">
      <w:pPr>
        <w:rPr>
          <w:rFonts w:ascii="Calibri" w:hAnsi="Calibri" w:cs="Calibri"/>
          <w:b/>
          <w:bCs/>
          <w:sz w:val="22"/>
          <w:szCs w:val="22"/>
        </w:rPr>
      </w:pPr>
      <w:r w:rsidRPr="00BE3994">
        <w:rPr>
          <w:rFonts w:ascii="Calibri" w:hAnsi="Calibri" w:cs="Calibri"/>
          <w:b/>
          <w:bCs/>
          <w:sz w:val="22"/>
          <w:szCs w:val="22"/>
        </w:rPr>
        <w:t>Kansengelijkheid faalt zonder luisteren</w:t>
      </w:r>
    </w:p>
    <w:p w14:paraId="18F4C2E4" w14:textId="46BFD4FA" w:rsidR="001B3B6D" w:rsidRPr="00BE3994" w:rsidRDefault="001B3B6D" w:rsidP="00E40E27">
      <w:pPr>
        <w:rPr>
          <w:rFonts w:ascii="Calibri" w:hAnsi="Calibri" w:cs="Calibri"/>
          <w:b/>
          <w:bCs/>
          <w:sz w:val="22"/>
          <w:szCs w:val="22"/>
        </w:rPr>
      </w:pPr>
      <w:r>
        <w:rPr>
          <w:rFonts w:ascii="Calibri" w:hAnsi="Calibri" w:cs="Calibri"/>
          <w:b/>
          <w:bCs/>
          <w:sz w:val="22"/>
          <w:szCs w:val="22"/>
        </w:rPr>
        <w:t xml:space="preserve">Dit stuk is gepubliceerd op de website van </w:t>
      </w:r>
    </w:p>
    <w:p w14:paraId="78276897" w14:textId="5BDEEAEB" w:rsidR="00BE3994" w:rsidRDefault="00BE3994" w:rsidP="00E40E27">
      <w:pPr>
        <w:rPr>
          <w:rFonts w:ascii="Calibri" w:hAnsi="Calibri" w:cs="Calibri"/>
          <w:i/>
          <w:sz w:val="22"/>
          <w:szCs w:val="22"/>
        </w:rPr>
      </w:pPr>
      <w:r>
        <w:rPr>
          <w:rFonts w:ascii="Calibri" w:hAnsi="Calibri" w:cs="Calibri"/>
          <w:i/>
          <w:sz w:val="22"/>
          <w:szCs w:val="22"/>
        </w:rPr>
        <w:t>Door Ingrid Paalman-Dijkenga</w:t>
      </w:r>
    </w:p>
    <w:p w14:paraId="6CA74472" w14:textId="7C982328" w:rsidR="00BE3994" w:rsidRPr="00BE3994" w:rsidRDefault="00BE3994" w:rsidP="00E40E27">
      <w:pPr>
        <w:rPr>
          <w:rFonts w:ascii="Calibri" w:hAnsi="Calibri" w:cs="Calibri"/>
          <w:iCs/>
          <w:sz w:val="22"/>
          <w:szCs w:val="22"/>
        </w:rPr>
      </w:pPr>
      <w:r>
        <w:rPr>
          <w:rFonts w:ascii="Calibri" w:hAnsi="Calibri" w:cs="Calibri"/>
          <w:i/>
          <w:sz w:val="22"/>
          <w:szCs w:val="22"/>
        </w:rPr>
        <w:t>September 2025</w:t>
      </w:r>
    </w:p>
    <w:p w14:paraId="15823C42" w14:textId="6F8CC124" w:rsidR="00E40E27" w:rsidRPr="00BE3994" w:rsidRDefault="00E40E27" w:rsidP="00E40E27">
      <w:pPr>
        <w:rPr>
          <w:rFonts w:ascii="Calibri" w:hAnsi="Calibri" w:cs="Calibri"/>
          <w:sz w:val="22"/>
          <w:szCs w:val="22"/>
        </w:rPr>
      </w:pPr>
      <w:r w:rsidRPr="00E40E27">
        <w:rPr>
          <w:rFonts w:ascii="Calibri" w:hAnsi="Calibri" w:cs="Calibri"/>
          <w:sz w:val="22"/>
          <w:szCs w:val="22"/>
        </w:rPr>
        <w:t>Wanneer we spreken over kansengelijkheid</w:t>
      </w:r>
      <w:r w:rsidRPr="00BE3994">
        <w:rPr>
          <w:rFonts w:ascii="Calibri" w:hAnsi="Calibri" w:cs="Calibri"/>
          <w:sz w:val="22"/>
          <w:szCs w:val="22"/>
        </w:rPr>
        <w:t xml:space="preserve"> voor kinderen en jongeren is dit voor mij </w:t>
      </w:r>
      <w:r w:rsidRPr="00E40E27">
        <w:rPr>
          <w:rFonts w:ascii="Calibri" w:hAnsi="Calibri" w:cs="Calibri"/>
          <w:sz w:val="22"/>
          <w:szCs w:val="22"/>
        </w:rPr>
        <w:t>dat ieder mens – ongeacht achtergrond, huidskleur, taal, geslacht – daadwerkelijk gelijke toegang krijgt tot de middelen, kansen en omstandigheden om zich te ontwikkelen</w:t>
      </w:r>
      <w:r w:rsidRPr="00BE3994">
        <w:rPr>
          <w:rFonts w:ascii="Calibri" w:hAnsi="Calibri" w:cs="Calibri"/>
          <w:sz w:val="22"/>
          <w:szCs w:val="22"/>
        </w:rPr>
        <w:t>, te groeien en te leren</w:t>
      </w:r>
      <w:r w:rsidRPr="00E40E27">
        <w:rPr>
          <w:rFonts w:ascii="Calibri" w:hAnsi="Calibri" w:cs="Calibri"/>
          <w:sz w:val="22"/>
          <w:szCs w:val="22"/>
        </w:rPr>
        <w:t xml:space="preserve">. Niet alleen formeel gelijk, maar zó dat die gelijke kansen in het dagelijks leven merkbaar zijn. </w:t>
      </w:r>
      <w:r w:rsidRPr="00BE3994">
        <w:rPr>
          <w:rFonts w:ascii="Calibri" w:hAnsi="Calibri" w:cs="Calibri"/>
          <w:sz w:val="22"/>
          <w:szCs w:val="22"/>
        </w:rPr>
        <w:t>K</w:t>
      </w:r>
      <w:r w:rsidRPr="00E40E27">
        <w:rPr>
          <w:rFonts w:ascii="Calibri" w:hAnsi="Calibri" w:cs="Calibri"/>
          <w:sz w:val="22"/>
          <w:szCs w:val="22"/>
        </w:rPr>
        <w:t>ansengelijkheid is niet iets dat vanzelf komt. Het is het logische gevolg van inclusie, van erkenning van</w:t>
      </w:r>
      <w:r w:rsidRPr="00BE3994">
        <w:rPr>
          <w:rFonts w:ascii="Calibri" w:hAnsi="Calibri" w:cs="Calibri"/>
          <w:sz w:val="22"/>
          <w:szCs w:val="22"/>
        </w:rPr>
        <w:t xml:space="preserve"> </w:t>
      </w:r>
      <w:r w:rsidRPr="00E40E27">
        <w:rPr>
          <w:rFonts w:ascii="Calibri" w:hAnsi="Calibri" w:cs="Calibri"/>
          <w:sz w:val="22"/>
          <w:szCs w:val="22"/>
        </w:rPr>
        <w:t>rechten</w:t>
      </w:r>
      <w:r w:rsidRPr="00BE3994">
        <w:rPr>
          <w:rFonts w:ascii="Calibri" w:hAnsi="Calibri" w:cs="Calibri"/>
          <w:sz w:val="22"/>
          <w:szCs w:val="22"/>
        </w:rPr>
        <w:t xml:space="preserve"> van kinderen en jongeren</w:t>
      </w:r>
      <w:r w:rsidRPr="00E40E27">
        <w:rPr>
          <w:rFonts w:ascii="Calibri" w:hAnsi="Calibri" w:cs="Calibri"/>
          <w:sz w:val="22"/>
          <w:szCs w:val="22"/>
        </w:rPr>
        <w:t xml:space="preserve">, én van het luisteren naar </w:t>
      </w:r>
      <w:r w:rsidRPr="00BE3994">
        <w:rPr>
          <w:rFonts w:ascii="Calibri" w:hAnsi="Calibri" w:cs="Calibri"/>
          <w:sz w:val="22"/>
          <w:szCs w:val="22"/>
        </w:rPr>
        <w:t xml:space="preserve">hen </w:t>
      </w:r>
      <w:r w:rsidRPr="00E40E27">
        <w:rPr>
          <w:rFonts w:ascii="Calibri" w:hAnsi="Calibri" w:cs="Calibri"/>
          <w:sz w:val="22"/>
          <w:szCs w:val="22"/>
        </w:rPr>
        <w:t>zonder oordeel.</w:t>
      </w:r>
      <w:r w:rsidRPr="00BE3994">
        <w:rPr>
          <w:rFonts w:ascii="Calibri" w:hAnsi="Calibri" w:cs="Calibri"/>
          <w:sz w:val="22"/>
          <w:szCs w:val="22"/>
        </w:rPr>
        <w:t xml:space="preserve"> </w:t>
      </w:r>
      <w:r w:rsidR="00DB4134" w:rsidRPr="00BE3994">
        <w:rPr>
          <w:rFonts w:ascii="Calibri" w:hAnsi="Calibri" w:cs="Calibri"/>
          <w:sz w:val="22"/>
          <w:szCs w:val="22"/>
        </w:rPr>
        <w:t xml:space="preserve">Vanuit luisteren is er dan de mogelijkheid om te leren van hun verhaal waardoor we kunnen kijken naar mogelijkheden om te leiden zodat er kansen zijn voor elke jongere. </w:t>
      </w:r>
      <w:r w:rsidR="00DB4134" w:rsidRPr="00BE3994">
        <w:rPr>
          <w:rFonts w:ascii="Calibri" w:hAnsi="Calibri" w:cs="Calibri"/>
          <w:sz w:val="22"/>
          <w:szCs w:val="22"/>
        </w:rPr>
        <w:br/>
        <w:t xml:space="preserve">Er zijn drie termen die ik daarbij uit wil leggen: inclusie, rechten en luisteren omdat ik denk dat deze fundamenteel zijn in het werken aan kansengelijkheid. </w:t>
      </w:r>
    </w:p>
    <w:p w14:paraId="69FDD391" w14:textId="108580D8" w:rsidR="00E40E27" w:rsidRPr="00BE3994" w:rsidRDefault="00E40E27" w:rsidP="00E40E27">
      <w:pPr>
        <w:rPr>
          <w:rFonts w:ascii="Calibri" w:hAnsi="Calibri" w:cs="Calibri"/>
          <w:sz w:val="22"/>
          <w:szCs w:val="22"/>
        </w:rPr>
      </w:pPr>
      <w:r w:rsidRPr="00E40E27">
        <w:rPr>
          <w:rFonts w:ascii="Calibri" w:hAnsi="Calibri" w:cs="Calibri"/>
          <w:sz w:val="22"/>
          <w:szCs w:val="22"/>
        </w:rPr>
        <w:t>Inclusie betekent dat je</w:t>
      </w:r>
      <w:r w:rsidR="00DB4134" w:rsidRPr="00BE3994">
        <w:rPr>
          <w:rFonts w:ascii="Calibri" w:hAnsi="Calibri" w:cs="Calibri"/>
          <w:sz w:val="22"/>
          <w:szCs w:val="22"/>
        </w:rPr>
        <w:t xml:space="preserve"> jongeren (maar lees gerust mensen)</w:t>
      </w:r>
      <w:r w:rsidRPr="00E40E27">
        <w:rPr>
          <w:rFonts w:ascii="Calibri" w:hAnsi="Calibri" w:cs="Calibri"/>
          <w:sz w:val="22"/>
          <w:szCs w:val="22"/>
        </w:rPr>
        <w:t xml:space="preserve"> er volledig bij betrekt, dat je </w:t>
      </w:r>
      <w:r w:rsidRPr="00BE3994">
        <w:rPr>
          <w:rFonts w:ascii="Calibri" w:hAnsi="Calibri" w:cs="Calibri"/>
          <w:sz w:val="22"/>
          <w:szCs w:val="22"/>
        </w:rPr>
        <w:t>erbij hoort</w:t>
      </w:r>
      <w:r w:rsidRPr="00E40E27">
        <w:rPr>
          <w:rFonts w:ascii="Calibri" w:hAnsi="Calibri" w:cs="Calibri"/>
          <w:sz w:val="22"/>
          <w:szCs w:val="22"/>
        </w:rPr>
        <w:t>, en dat je structuren, gewoonten en opvattingen aanpast</w:t>
      </w:r>
      <w:r w:rsidR="00DB4134" w:rsidRPr="00BE3994">
        <w:rPr>
          <w:rFonts w:ascii="Calibri" w:hAnsi="Calibri" w:cs="Calibri"/>
          <w:sz w:val="22"/>
          <w:szCs w:val="22"/>
        </w:rPr>
        <w:t xml:space="preserve"> </w:t>
      </w:r>
      <w:r w:rsidRPr="00E40E27">
        <w:rPr>
          <w:rFonts w:ascii="Calibri" w:hAnsi="Calibri" w:cs="Calibri"/>
          <w:sz w:val="22"/>
          <w:szCs w:val="22"/>
        </w:rPr>
        <w:t xml:space="preserve">zodat niet alleen de ‘gemakkelijke </w:t>
      </w:r>
      <w:proofErr w:type="spellStart"/>
      <w:r w:rsidRPr="00E40E27">
        <w:rPr>
          <w:rFonts w:ascii="Calibri" w:hAnsi="Calibri" w:cs="Calibri"/>
          <w:sz w:val="22"/>
          <w:szCs w:val="22"/>
        </w:rPr>
        <w:t>passe</w:t>
      </w:r>
      <w:r w:rsidR="00DB4134" w:rsidRPr="00BE3994">
        <w:rPr>
          <w:rFonts w:ascii="Calibri" w:hAnsi="Calibri" w:cs="Calibri"/>
          <w:sz w:val="22"/>
          <w:szCs w:val="22"/>
        </w:rPr>
        <w:t>nden</w:t>
      </w:r>
      <w:proofErr w:type="spellEnd"/>
      <w:r w:rsidRPr="00E40E27">
        <w:rPr>
          <w:rFonts w:ascii="Calibri" w:hAnsi="Calibri" w:cs="Calibri"/>
          <w:sz w:val="22"/>
          <w:szCs w:val="22"/>
        </w:rPr>
        <w:t>’ erin kunnen, maar ook de</w:t>
      </w:r>
      <w:r w:rsidR="00DB4134" w:rsidRPr="00BE3994">
        <w:rPr>
          <w:rFonts w:ascii="Calibri" w:hAnsi="Calibri" w:cs="Calibri"/>
          <w:sz w:val="22"/>
          <w:szCs w:val="22"/>
        </w:rPr>
        <w:t xml:space="preserve"> jongeren</w:t>
      </w:r>
      <w:r w:rsidRPr="00E40E27">
        <w:rPr>
          <w:rFonts w:ascii="Calibri" w:hAnsi="Calibri" w:cs="Calibri"/>
          <w:sz w:val="22"/>
          <w:szCs w:val="22"/>
        </w:rPr>
        <w:t xml:space="preserve"> voor wie de bestaande kaders (nog) niet aansluiten.</w:t>
      </w:r>
      <w:r w:rsidRPr="00BE3994">
        <w:rPr>
          <w:rFonts w:ascii="Calibri" w:hAnsi="Calibri" w:cs="Calibri"/>
          <w:sz w:val="22"/>
          <w:szCs w:val="22"/>
        </w:rPr>
        <w:t xml:space="preserve"> </w:t>
      </w:r>
      <w:r w:rsidRPr="00E40E27">
        <w:rPr>
          <w:rFonts w:ascii="Calibri" w:hAnsi="Calibri" w:cs="Calibri"/>
          <w:sz w:val="22"/>
          <w:szCs w:val="22"/>
        </w:rPr>
        <w:t>In het onderwijs</w:t>
      </w:r>
      <w:r w:rsidRPr="00BE3994">
        <w:rPr>
          <w:rFonts w:ascii="Calibri" w:hAnsi="Calibri" w:cs="Calibri"/>
          <w:sz w:val="22"/>
          <w:szCs w:val="22"/>
        </w:rPr>
        <w:t>, als onderdeel van de maatschappij, roept dat een aantal vragen op die vooral in en door de dialoog besproken moeten worden. Te denken valt daarbij aan vragen als</w:t>
      </w:r>
    </w:p>
    <w:p w14:paraId="5835391F" w14:textId="267221FD" w:rsidR="00E40E27" w:rsidRPr="00BE3994" w:rsidRDefault="00E40E27" w:rsidP="00E40E27">
      <w:pPr>
        <w:pStyle w:val="Lijstalinea"/>
        <w:numPr>
          <w:ilvl w:val="0"/>
          <w:numId w:val="19"/>
        </w:numPr>
        <w:rPr>
          <w:rFonts w:ascii="Calibri" w:hAnsi="Calibri" w:cs="Calibri"/>
          <w:sz w:val="22"/>
          <w:szCs w:val="22"/>
        </w:rPr>
      </w:pPr>
      <w:r w:rsidRPr="00BE3994">
        <w:rPr>
          <w:rFonts w:ascii="Calibri" w:hAnsi="Calibri" w:cs="Calibri"/>
          <w:sz w:val="22"/>
          <w:szCs w:val="22"/>
        </w:rPr>
        <w:t xml:space="preserve">Hoe betrekken wij onze jongeren erbij? Ook die jongeren die we misschien nog niet begrijpen, die gedragsuitingen laten zien die we misschien ingewikkeld vinden. </w:t>
      </w:r>
    </w:p>
    <w:p w14:paraId="03FDC9EB" w14:textId="3CF76244" w:rsidR="00EA13B6" w:rsidRPr="00BE3994" w:rsidRDefault="00EA13B6" w:rsidP="00EA13B6">
      <w:pPr>
        <w:pStyle w:val="Lijstalinea"/>
        <w:numPr>
          <w:ilvl w:val="0"/>
          <w:numId w:val="19"/>
        </w:numPr>
        <w:rPr>
          <w:rFonts w:ascii="Calibri" w:hAnsi="Calibri" w:cs="Calibri"/>
          <w:sz w:val="22"/>
          <w:szCs w:val="22"/>
        </w:rPr>
      </w:pPr>
      <w:r w:rsidRPr="00BE3994">
        <w:rPr>
          <w:rFonts w:ascii="Calibri" w:hAnsi="Calibri" w:cs="Calibri"/>
          <w:sz w:val="22"/>
          <w:szCs w:val="22"/>
        </w:rPr>
        <w:t>Hoe werken we met elkaar aan het ‘erbij horen’ in onze school, wijk en daarbuiten?</w:t>
      </w:r>
    </w:p>
    <w:p w14:paraId="7F1368D6" w14:textId="60C3D932" w:rsidR="00EA13B6" w:rsidRPr="00BE3994" w:rsidRDefault="00EA13B6" w:rsidP="00EA13B6">
      <w:pPr>
        <w:pStyle w:val="Lijstalinea"/>
        <w:numPr>
          <w:ilvl w:val="0"/>
          <w:numId w:val="19"/>
        </w:numPr>
        <w:rPr>
          <w:rFonts w:ascii="Calibri" w:hAnsi="Calibri" w:cs="Calibri"/>
          <w:sz w:val="22"/>
          <w:szCs w:val="22"/>
        </w:rPr>
      </w:pPr>
      <w:r w:rsidRPr="00BE3994">
        <w:rPr>
          <w:rFonts w:ascii="Calibri" w:hAnsi="Calibri" w:cs="Calibri"/>
          <w:sz w:val="22"/>
          <w:szCs w:val="22"/>
        </w:rPr>
        <w:t>Welke verwachtingen leggen wij stilzwijgend op aan jongeren?</w:t>
      </w:r>
    </w:p>
    <w:p w14:paraId="5E106F67" w14:textId="6AC35F64" w:rsidR="00DB4134" w:rsidRPr="00BE3994" w:rsidRDefault="00DB4134" w:rsidP="00EA13B6">
      <w:pPr>
        <w:pStyle w:val="Lijstalinea"/>
        <w:numPr>
          <w:ilvl w:val="0"/>
          <w:numId w:val="19"/>
        </w:numPr>
        <w:rPr>
          <w:rFonts w:ascii="Calibri" w:hAnsi="Calibri" w:cs="Calibri"/>
          <w:sz w:val="22"/>
          <w:szCs w:val="22"/>
        </w:rPr>
      </w:pPr>
      <w:r w:rsidRPr="00BE3994">
        <w:rPr>
          <w:rFonts w:ascii="Calibri" w:hAnsi="Calibri" w:cs="Calibri"/>
          <w:sz w:val="22"/>
          <w:szCs w:val="22"/>
        </w:rPr>
        <w:t>In hoeverre dragen de kaders die we hebben vormgegeven bij aan het vormgeven van goed onderwijs zodat kansengelijkheid wordt gestimuleerd?</w:t>
      </w:r>
    </w:p>
    <w:p w14:paraId="2EEAF2E5" w14:textId="71505958" w:rsidR="00E40E27" w:rsidRPr="00BE3994" w:rsidRDefault="00E40E27" w:rsidP="00E40E27">
      <w:pPr>
        <w:rPr>
          <w:rFonts w:ascii="Calibri" w:hAnsi="Calibri" w:cs="Calibri"/>
          <w:sz w:val="22"/>
          <w:szCs w:val="22"/>
        </w:rPr>
      </w:pPr>
      <w:r w:rsidRPr="00E40E27">
        <w:rPr>
          <w:rFonts w:ascii="Calibri" w:hAnsi="Calibri" w:cs="Calibri"/>
          <w:sz w:val="22"/>
          <w:szCs w:val="22"/>
        </w:rPr>
        <w:t xml:space="preserve">Inclusie </w:t>
      </w:r>
      <w:r w:rsidR="00EA13B6" w:rsidRPr="00BE3994">
        <w:rPr>
          <w:rFonts w:ascii="Calibri" w:hAnsi="Calibri" w:cs="Calibri"/>
          <w:sz w:val="22"/>
          <w:szCs w:val="22"/>
        </w:rPr>
        <w:t xml:space="preserve">richt zich dus op mogelijkheden voor eenieder vanuit </w:t>
      </w:r>
      <w:r w:rsidR="00DB4134" w:rsidRPr="00BE3994">
        <w:rPr>
          <w:rFonts w:ascii="Calibri" w:hAnsi="Calibri" w:cs="Calibri"/>
          <w:sz w:val="22"/>
          <w:szCs w:val="22"/>
        </w:rPr>
        <w:t>het gedachtegoed dat je volledig wordt betrokken, erbij hoort en jezelf in relatie met anderen herkent in de context en omgeving waar je je bevindt. Je kunt</w:t>
      </w:r>
      <w:r w:rsidR="00DE2E8A" w:rsidRPr="00BE3994">
        <w:rPr>
          <w:rFonts w:ascii="Calibri" w:hAnsi="Calibri" w:cs="Calibri"/>
          <w:sz w:val="22"/>
          <w:szCs w:val="22"/>
        </w:rPr>
        <w:t xml:space="preserve"> in deze omgeving</w:t>
      </w:r>
      <w:r w:rsidR="00DB4134" w:rsidRPr="00BE3994">
        <w:rPr>
          <w:rFonts w:ascii="Calibri" w:hAnsi="Calibri" w:cs="Calibri"/>
          <w:sz w:val="22"/>
          <w:szCs w:val="22"/>
        </w:rPr>
        <w:t xml:space="preserve"> groeien en ontwikkelen omdat de</w:t>
      </w:r>
      <w:r w:rsidR="00DE2E8A" w:rsidRPr="00BE3994">
        <w:rPr>
          <w:rFonts w:ascii="Calibri" w:hAnsi="Calibri" w:cs="Calibri"/>
          <w:sz w:val="22"/>
          <w:szCs w:val="22"/>
        </w:rPr>
        <w:t>ze da</w:t>
      </w:r>
      <w:r w:rsidR="00DB4134" w:rsidRPr="00BE3994">
        <w:rPr>
          <w:rFonts w:ascii="Calibri" w:hAnsi="Calibri" w:cs="Calibri"/>
          <w:sz w:val="22"/>
          <w:szCs w:val="22"/>
        </w:rPr>
        <w:t xml:space="preserve">t toestaat. </w:t>
      </w:r>
    </w:p>
    <w:p w14:paraId="50FA00B3" w14:textId="4751A8C2" w:rsidR="00DE2E8A" w:rsidRPr="00BE3994" w:rsidRDefault="00DE2E8A" w:rsidP="00E40E27">
      <w:pPr>
        <w:rPr>
          <w:rFonts w:ascii="Calibri" w:hAnsi="Calibri" w:cs="Calibri"/>
          <w:sz w:val="22"/>
          <w:szCs w:val="22"/>
        </w:rPr>
      </w:pPr>
      <w:r w:rsidRPr="00BE3994">
        <w:rPr>
          <w:rFonts w:ascii="Calibri" w:hAnsi="Calibri" w:cs="Calibri"/>
          <w:sz w:val="22"/>
          <w:szCs w:val="22"/>
        </w:rPr>
        <w:t>Jongeren hebben recht op kansengelijkheid. Het is geen vraag of we iets moeten doen aan kansengelijkheid omdat het vanuit internationale wetgeving over de rechten van het kind (I</w:t>
      </w:r>
      <w:r w:rsidR="00F40CD0">
        <w:rPr>
          <w:rFonts w:ascii="Calibri" w:hAnsi="Calibri" w:cs="Calibri"/>
          <w:sz w:val="22"/>
          <w:szCs w:val="22"/>
        </w:rPr>
        <w:t xml:space="preserve">nternationaal </w:t>
      </w:r>
      <w:r w:rsidRPr="00BE3994">
        <w:rPr>
          <w:rFonts w:ascii="Calibri" w:hAnsi="Calibri" w:cs="Calibri"/>
          <w:sz w:val="22"/>
          <w:szCs w:val="22"/>
        </w:rPr>
        <w:t>V</w:t>
      </w:r>
      <w:r w:rsidR="00F40CD0">
        <w:rPr>
          <w:rFonts w:ascii="Calibri" w:hAnsi="Calibri" w:cs="Calibri"/>
          <w:sz w:val="22"/>
          <w:szCs w:val="22"/>
        </w:rPr>
        <w:t xml:space="preserve">erdrag </w:t>
      </w:r>
      <w:r w:rsidRPr="00BE3994">
        <w:rPr>
          <w:rFonts w:ascii="Calibri" w:hAnsi="Calibri" w:cs="Calibri"/>
          <w:sz w:val="22"/>
          <w:szCs w:val="22"/>
        </w:rPr>
        <w:t>R</w:t>
      </w:r>
      <w:r w:rsidR="00F40CD0">
        <w:rPr>
          <w:rFonts w:ascii="Calibri" w:hAnsi="Calibri" w:cs="Calibri"/>
          <w:sz w:val="22"/>
          <w:szCs w:val="22"/>
        </w:rPr>
        <w:t xml:space="preserve">echten van het </w:t>
      </w:r>
      <w:r w:rsidRPr="00BE3994">
        <w:rPr>
          <w:rFonts w:ascii="Calibri" w:hAnsi="Calibri" w:cs="Calibri"/>
          <w:sz w:val="22"/>
          <w:szCs w:val="22"/>
        </w:rPr>
        <w:t>K</w:t>
      </w:r>
      <w:r w:rsidR="00F40CD0">
        <w:rPr>
          <w:rFonts w:ascii="Calibri" w:hAnsi="Calibri" w:cs="Calibri"/>
          <w:sz w:val="22"/>
          <w:szCs w:val="22"/>
        </w:rPr>
        <w:t>ind</w:t>
      </w:r>
      <w:r w:rsidRPr="00BE3994">
        <w:rPr>
          <w:rFonts w:ascii="Calibri" w:hAnsi="Calibri" w:cs="Calibri"/>
          <w:sz w:val="22"/>
          <w:szCs w:val="22"/>
        </w:rPr>
        <w:t>) gewoonweg een gegeven is. Deze rechten impliceren dat jongeren recht hebben op toegankelijk onderwijs dat hen toegang geeft tot de maatschappij. Gelijke kansen in de context van waar de jongere zich bevindt. Immers elke situatie vraagt om nabije aandacht om te zien wat er nodig is om deze kansen te geven. Principes vanuit de wet hierbij zijn eigen waardigheid, eigen mening, kwalitatief goed onderwijs en onderwijs dat niet discrimineert.</w:t>
      </w:r>
      <w:r w:rsidR="003266AF" w:rsidRPr="00BE3994">
        <w:rPr>
          <w:rFonts w:ascii="Calibri" w:hAnsi="Calibri" w:cs="Calibri"/>
          <w:sz w:val="22"/>
          <w:szCs w:val="22"/>
        </w:rPr>
        <w:t xml:space="preserve"> De rechten van het kind zouden fundamenteel onder de ontwerpen van het onderwijs moeten liggen om ervoor te zorgen dat kansengelijkheid in de basis bevorderd wordt. Dit is moreel en juridisch juist om te doen.</w:t>
      </w:r>
    </w:p>
    <w:p w14:paraId="517B7225" w14:textId="02721960" w:rsidR="00E40E27" w:rsidRPr="00BE3994" w:rsidRDefault="003266AF" w:rsidP="00E40E27">
      <w:pPr>
        <w:rPr>
          <w:rFonts w:ascii="Calibri" w:hAnsi="Calibri" w:cs="Calibri"/>
          <w:sz w:val="22"/>
          <w:szCs w:val="22"/>
        </w:rPr>
      </w:pPr>
      <w:r w:rsidRPr="00BE3994">
        <w:rPr>
          <w:rFonts w:ascii="Calibri" w:hAnsi="Calibri" w:cs="Calibri"/>
          <w:sz w:val="22"/>
          <w:szCs w:val="22"/>
        </w:rPr>
        <w:t xml:space="preserve">Een van de grootste problemen voor echte kansengelijkheid is dat veel volwassen doelgroepen maar al te vaak denken te weten wat goed is voor jongeren zonder daarbij oprecht te luisteren. In alle </w:t>
      </w:r>
      <w:r w:rsidRPr="00BE3994">
        <w:rPr>
          <w:rFonts w:ascii="Calibri" w:hAnsi="Calibri" w:cs="Calibri"/>
          <w:sz w:val="22"/>
          <w:szCs w:val="22"/>
        </w:rPr>
        <w:lastRenderedPageBreak/>
        <w:t>openheid proberen te begrijpen wat de context van de jongere is. Het niet hebben van gelijke kansen is immers geen keus maar simpelweg een gegeven vanuit onder andere geografische ligging, sociale contexten en financiële mogelijkheden. Des te belangrijker is het goed leren verstaan van de jongere en zijn omgeving. Hiervoor moet geluisterd worden naar de stem van jongeren. Luisteren gaat over het hoorbare en het waarneembare, maar ook over niet gelijk hoorbare en waarneembare situaties van de jongere, de lerende. Luisteren begint altijd met oprechte interesse die zich richt op de ander. Het gaat erom het verhaal van de ander een stem te geven. Luisteren bepaal</w:t>
      </w:r>
      <w:r w:rsidR="0049719D" w:rsidRPr="00BE3994">
        <w:rPr>
          <w:rFonts w:ascii="Calibri" w:hAnsi="Calibri" w:cs="Calibri"/>
          <w:sz w:val="22"/>
          <w:szCs w:val="22"/>
        </w:rPr>
        <w:t>t</w:t>
      </w:r>
      <w:r w:rsidRPr="00BE3994">
        <w:rPr>
          <w:rFonts w:ascii="Calibri" w:hAnsi="Calibri" w:cs="Calibri"/>
          <w:sz w:val="22"/>
          <w:szCs w:val="22"/>
        </w:rPr>
        <w:t xml:space="preserve"> het verschil tussen geaccepteerd of geïsoleerd zijn en voelen.</w:t>
      </w:r>
      <w:r w:rsidR="0049719D" w:rsidRPr="00BE3994">
        <w:rPr>
          <w:rFonts w:ascii="Calibri" w:hAnsi="Calibri" w:cs="Calibri"/>
          <w:sz w:val="22"/>
          <w:szCs w:val="22"/>
        </w:rPr>
        <w:t xml:space="preserve"> We moeten eerst luisteren voordat we gaan diagnosticeren, adviseren, voorschrijven of wat we ook maar willen doen. Luisteren is de eerste echte stap naar het bevorderen van kansengelijkheid op basis van inclusie en rechten van het kind.</w:t>
      </w:r>
    </w:p>
    <w:p w14:paraId="1E773C9A" w14:textId="473FEF5D" w:rsidR="00BE3994" w:rsidRPr="00BE3994" w:rsidRDefault="0049719D" w:rsidP="00BE3994">
      <w:pPr>
        <w:rPr>
          <w:rFonts w:ascii="Calibri" w:hAnsi="Calibri" w:cs="Calibri"/>
          <w:sz w:val="22"/>
          <w:szCs w:val="22"/>
        </w:rPr>
      </w:pPr>
      <w:r w:rsidRPr="00BE3994">
        <w:rPr>
          <w:rFonts w:ascii="Calibri" w:hAnsi="Calibri" w:cs="Calibri"/>
          <w:sz w:val="22"/>
          <w:szCs w:val="22"/>
        </w:rPr>
        <w:t xml:space="preserve">Kansengelijkheid ontstaat vanuit inclusie, rechten van het kind en luisteren als een logisch gevolg. Deze moeten samengaan. Kansengelijkheid is geen gegeven op papier maar de basis van het inrichten van onze samenleving. Onderwijs, jeugdzorg en beleid moeten blijvend erkennen dat niet iedereen begint vanuit hetzelfde startpunt. Armoede, discriminatie, taalachterstand en gezondheid bepalen nog te vaak wie wel of geen kansen krijgt. Inclusie pakt deze ongelijkheid aan om eerlijke voorwaarden te creëren voor elke jongere. Daarbij moeten de rechten van het kind meer werkelijk worden dan nu het geval is. Rechten gaan immers verder dan de school en de klas. Elke jongere heeft recht op onderwijs dat vanuit een veilige omgeving zorgdraagt voor ontwikkeling van hun talent. </w:t>
      </w:r>
      <w:r w:rsidR="00BE3994" w:rsidRPr="00BE3994">
        <w:rPr>
          <w:rFonts w:ascii="Calibri" w:hAnsi="Calibri" w:cs="Calibri"/>
          <w:sz w:val="22"/>
          <w:szCs w:val="22"/>
        </w:rPr>
        <w:t>Dit vraagt diep naar binnen kijken naar je eigen rol als professional, naar jouw mens-zijn. Wie ben je? Luister naar je innerlijke stem. Dit zorgt ervoor dat je als persoon en professional in staat bent om uiteindelijk de blik naar buiten te richten en ook je eigen-ik trouw te zijn. Alleen door goed te luisteren ben je in staat om betrokken te zijn, te begrijpen, te verbinden, empathie te tonen en te ontwikkelen als mens in verbinding met andere mensen. Dit bevordert kansengelijkheid. Kansengelijkheid is op basis van inclusie, rechten van de mens en vanuit luisteren de norm voor goed onderwijs. Ongelijkheid is geen gegeven maar een vraagstuk dat opgelost moet worden door ons, met elkaar. Laten we zorgen dat elke jongere ontmoetingen krijgt die hun toekomst op een positieve manier beïnvloeden. Wij kunnen die ontmoetingen in het onderwijs met elkaar creëren. Hun toekomst is onze gezamenlijke verantwoordelijkheid.</w:t>
      </w:r>
      <w:r w:rsidR="00BE3994">
        <w:rPr>
          <w:rFonts w:ascii="Calibri" w:hAnsi="Calibri" w:cs="Calibri"/>
          <w:sz w:val="22"/>
          <w:szCs w:val="22"/>
        </w:rPr>
        <w:t xml:space="preserve"> </w:t>
      </w:r>
    </w:p>
    <w:p w14:paraId="00A1249B" w14:textId="77777777" w:rsidR="00BE3994" w:rsidRPr="00BE3994" w:rsidRDefault="00BE3994" w:rsidP="00BE3994">
      <w:pPr>
        <w:rPr>
          <w:rFonts w:ascii="Calibri" w:hAnsi="Calibri" w:cs="Calibri"/>
          <w:sz w:val="22"/>
          <w:szCs w:val="22"/>
        </w:rPr>
      </w:pPr>
    </w:p>
    <w:p w14:paraId="1C8E0412" w14:textId="77777777" w:rsidR="00BE3994" w:rsidRPr="00BE3994" w:rsidRDefault="00BE3994" w:rsidP="00BE3994">
      <w:pPr>
        <w:rPr>
          <w:rFonts w:ascii="Calibri" w:hAnsi="Calibri" w:cs="Calibri"/>
          <w:sz w:val="22"/>
          <w:szCs w:val="22"/>
        </w:rPr>
      </w:pPr>
    </w:p>
    <w:p w14:paraId="7880E5A8" w14:textId="77777777" w:rsidR="00BE3994" w:rsidRPr="00BE3994" w:rsidRDefault="00BE3994" w:rsidP="00BE3994">
      <w:pPr>
        <w:rPr>
          <w:rFonts w:ascii="Calibri" w:hAnsi="Calibri" w:cs="Calibri"/>
          <w:sz w:val="22"/>
          <w:szCs w:val="22"/>
        </w:rPr>
      </w:pPr>
    </w:p>
    <w:p w14:paraId="183F4043" w14:textId="77777777" w:rsidR="00E40E27" w:rsidRPr="00BE3994" w:rsidRDefault="00E40E27">
      <w:pPr>
        <w:rPr>
          <w:sz w:val="22"/>
          <w:szCs w:val="22"/>
        </w:rPr>
      </w:pPr>
    </w:p>
    <w:sectPr w:rsidR="00E40E27" w:rsidRPr="00BE39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7A7"/>
    <w:multiLevelType w:val="hybridMultilevel"/>
    <w:tmpl w:val="90AA6074"/>
    <w:lvl w:ilvl="0" w:tplc="8D547A0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2938F4"/>
    <w:multiLevelType w:val="multilevel"/>
    <w:tmpl w:val="38DA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70FD2"/>
    <w:multiLevelType w:val="multilevel"/>
    <w:tmpl w:val="5AB421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EC43A7"/>
    <w:multiLevelType w:val="multilevel"/>
    <w:tmpl w:val="61EC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6293D"/>
    <w:multiLevelType w:val="multilevel"/>
    <w:tmpl w:val="A27A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B6492"/>
    <w:multiLevelType w:val="multilevel"/>
    <w:tmpl w:val="167C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26E21"/>
    <w:multiLevelType w:val="multilevel"/>
    <w:tmpl w:val="4A9A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31794"/>
    <w:multiLevelType w:val="multilevel"/>
    <w:tmpl w:val="8822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6B3E33"/>
    <w:multiLevelType w:val="multilevel"/>
    <w:tmpl w:val="F150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B73A8"/>
    <w:multiLevelType w:val="multilevel"/>
    <w:tmpl w:val="89BA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514A47"/>
    <w:multiLevelType w:val="multilevel"/>
    <w:tmpl w:val="99BC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530E97"/>
    <w:multiLevelType w:val="multilevel"/>
    <w:tmpl w:val="F59E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C5091"/>
    <w:multiLevelType w:val="multilevel"/>
    <w:tmpl w:val="FEB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C21E40"/>
    <w:multiLevelType w:val="multilevel"/>
    <w:tmpl w:val="4444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640A5"/>
    <w:multiLevelType w:val="multilevel"/>
    <w:tmpl w:val="8730D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0B1BC5"/>
    <w:multiLevelType w:val="multilevel"/>
    <w:tmpl w:val="1D40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61284A"/>
    <w:multiLevelType w:val="multilevel"/>
    <w:tmpl w:val="C102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81623"/>
    <w:multiLevelType w:val="multilevel"/>
    <w:tmpl w:val="EC2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FF2855"/>
    <w:multiLevelType w:val="multilevel"/>
    <w:tmpl w:val="E8EA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203965">
    <w:abstractNumId w:val="5"/>
  </w:num>
  <w:num w:numId="2" w16cid:durableId="856894213">
    <w:abstractNumId w:val="15"/>
  </w:num>
  <w:num w:numId="3" w16cid:durableId="1855414959">
    <w:abstractNumId w:val="9"/>
  </w:num>
  <w:num w:numId="4" w16cid:durableId="1709840489">
    <w:abstractNumId w:val="3"/>
  </w:num>
  <w:num w:numId="5" w16cid:durableId="1216040582">
    <w:abstractNumId w:val="10"/>
  </w:num>
  <w:num w:numId="6" w16cid:durableId="1274627881">
    <w:abstractNumId w:val="6"/>
  </w:num>
  <w:num w:numId="7" w16cid:durableId="1959067844">
    <w:abstractNumId w:val="11"/>
  </w:num>
  <w:num w:numId="8" w16cid:durableId="923759761">
    <w:abstractNumId w:val="18"/>
  </w:num>
  <w:num w:numId="9" w16cid:durableId="1211111615">
    <w:abstractNumId w:val="12"/>
  </w:num>
  <w:num w:numId="10" w16cid:durableId="1975714970">
    <w:abstractNumId w:val="2"/>
  </w:num>
  <w:num w:numId="11" w16cid:durableId="1749233991">
    <w:abstractNumId w:val="7"/>
  </w:num>
  <w:num w:numId="12" w16cid:durableId="944532177">
    <w:abstractNumId w:val="13"/>
  </w:num>
  <w:num w:numId="13" w16cid:durableId="770051271">
    <w:abstractNumId w:val="4"/>
  </w:num>
  <w:num w:numId="14" w16cid:durableId="958300021">
    <w:abstractNumId w:val="16"/>
  </w:num>
  <w:num w:numId="15" w16cid:durableId="402341743">
    <w:abstractNumId w:val="17"/>
  </w:num>
  <w:num w:numId="16" w16cid:durableId="445663614">
    <w:abstractNumId w:val="14"/>
  </w:num>
  <w:num w:numId="17" w16cid:durableId="352462143">
    <w:abstractNumId w:val="8"/>
  </w:num>
  <w:num w:numId="18" w16cid:durableId="1739739975">
    <w:abstractNumId w:val="1"/>
  </w:num>
  <w:num w:numId="19" w16cid:durableId="1617910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E27"/>
    <w:rsid w:val="001B3B6D"/>
    <w:rsid w:val="003266AF"/>
    <w:rsid w:val="0042252F"/>
    <w:rsid w:val="0049719D"/>
    <w:rsid w:val="006F1360"/>
    <w:rsid w:val="007E2291"/>
    <w:rsid w:val="0089686D"/>
    <w:rsid w:val="00BE3994"/>
    <w:rsid w:val="00DB4134"/>
    <w:rsid w:val="00DE2E8A"/>
    <w:rsid w:val="00E40E27"/>
    <w:rsid w:val="00EA13B6"/>
    <w:rsid w:val="00F40CD0"/>
    <w:rsid w:val="00F7059E"/>
    <w:rsid w:val="00F82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57BED"/>
  <w15:chartTrackingRefBased/>
  <w15:docId w15:val="{95FC9121-EBCE-43A0-BC76-745FDD47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0E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0E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0E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0E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0E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0E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0E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0E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0E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0E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0E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0E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0E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0E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0E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0E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0E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0E27"/>
    <w:rPr>
      <w:rFonts w:eastAsiaTheme="majorEastAsia" w:cstheme="majorBidi"/>
      <w:color w:val="272727" w:themeColor="text1" w:themeTint="D8"/>
    </w:rPr>
  </w:style>
  <w:style w:type="paragraph" w:styleId="Titel">
    <w:name w:val="Title"/>
    <w:basedOn w:val="Standaard"/>
    <w:next w:val="Standaard"/>
    <w:link w:val="TitelChar"/>
    <w:uiPriority w:val="10"/>
    <w:qFormat/>
    <w:rsid w:val="00E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0E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0E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0E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0E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0E27"/>
    <w:rPr>
      <w:i/>
      <w:iCs/>
      <w:color w:val="404040" w:themeColor="text1" w:themeTint="BF"/>
    </w:rPr>
  </w:style>
  <w:style w:type="paragraph" w:styleId="Lijstalinea">
    <w:name w:val="List Paragraph"/>
    <w:basedOn w:val="Standaard"/>
    <w:uiPriority w:val="34"/>
    <w:qFormat/>
    <w:rsid w:val="00E40E27"/>
    <w:pPr>
      <w:ind w:left="720"/>
      <w:contextualSpacing/>
    </w:pPr>
  </w:style>
  <w:style w:type="character" w:styleId="Intensievebenadrukking">
    <w:name w:val="Intense Emphasis"/>
    <w:basedOn w:val="Standaardalinea-lettertype"/>
    <w:uiPriority w:val="21"/>
    <w:qFormat/>
    <w:rsid w:val="00E40E27"/>
    <w:rPr>
      <w:i/>
      <w:iCs/>
      <w:color w:val="0F4761" w:themeColor="accent1" w:themeShade="BF"/>
    </w:rPr>
  </w:style>
  <w:style w:type="paragraph" w:styleId="Duidelijkcitaat">
    <w:name w:val="Intense Quote"/>
    <w:basedOn w:val="Standaard"/>
    <w:next w:val="Standaard"/>
    <w:link w:val="DuidelijkcitaatChar"/>
    <w:uiPriority w:val="30"/>
    <w:qFormat/>
    <w:rsid w:val="00E40E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0E27"/>
    <w:rPr>
      <w:i/>
      <w:iCs/>
      <w:color w:val="0F4761" w:themeColor="accent1" w:themeShade="BF"/>
    </w:rPr>
  </w:style>
  <w:style w:type="character" w:styleId="Intensieveverwijzing">
    <w:name w:val="Intense Reference"/>
    <w:basedOn w:val="Standaardalinea-lettertype"/>
    <w:uiPriority w:val="32"/>
    <w:qFormat/>
    <w:rsid w:val="00E40E27"/>
    <w:rPr>
      <w:b/>
      <w:bCs/>
      <w:smallCaps/>
      <w:color w:val="0F4761" w:themeColor="accent1" w:themeShade="BF"/>
      <w:spacing w:val="5"/>
    </w:rPr>
  </w:style>
  <w:style w:type="character" w:styleId="Hyperlink">
    <w:name w:val="Hyperlink"/>
    <w:basedOn w:val="Standaardalinea-lettertype"/>
    <w:uiPriority w:val="99"/>
    <w:unhideWhenUsed/>
    <w:rsid w:val="00E40E27"/>
    <w:rPr>
      <w:color w:val="467886" w:themeColor="hyperlink"/>
      <w:u w:val="single"/>
    </w:rPr>
  </w:style>
  <w:style w:type="character" w:styleId="Onopgelostemelding">
    <w:name w:val="Unresolved Mention"/>
    <w:basedOn w:val="Standaardalinea-lettertype"/>
    <w:uiPriority w:val="99"/>
    <w:semiHidden/>
    <w:unhideWhenUsed/>
    <w:rsid w:val="00E40E27"/>
    <w:rPr>
      <w:color w:val="605E5C"/>
      <w:shd w:val="clear" w:color="auto" w:fill="E1DFDD"/>
    </w:rPr>
  </w:style>
  <w:style w:type="paragraph" w:styleId="Normaalweb">
    <w:name w:val="Normal (Web)"/>
    <w:basedOn w:val="Standaard"/>
    <w:uiPriority w:val="99"/>
    <w:semiHidden/>
    <w:unhideWhenUsed/>
    <w:rsid w:val="0049719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4971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917</Words>
  <Characters>5047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Paalman - Dijkenga</dc:creator>
  <cp:keywords/>
  <dc:description/>
  <cp:lastModifiedBy>Ingrid Paalman - Dijkenga</cp:lastModifiedBy>
  <cp:revision>6</cp:revision>
  <dcterms:created xsi:type="dcterms:W3CDTF">2025-09-12T11:50:00Z</dcterms:created>
  <dcterms:modified xsi:type="dcterms:W3CDTF">2026-06-09T13:13:00Z</dcterms:modified>
</cp:coreProperties>
</file>